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4" w:rsidRDefault="00713934" w:rsidP="00713934">
      <w:pPr>
        <w:jc w:val="center"/>
        <w:rPr>
          <w:sz w:val="36"/>
          <w:szCs w:val="36"/>
        </w:rPr>
      </w:pPr>
    </w:p>
    <w:p w:rsidR="00713934" w:rsidRDefault="00713934" w:rsidP="00713934">
      <w:pPr>
        <w:jc w:val="center"/>
        <w:rPr>
          <w:sz w:val="36"/>
          <w:szCs w:val="36"/>
        </w:rPr>
      </w:pPr>
    </w:p>
    <w:p w:rsidR="00713934" w:rsidRPr="00713934" w:rsidRDefault="00713934" w:rsidP="00713934">
      <w:pPr>
        <w:jc w:val="center"/>
        <w:rPr>
          <w:sz w:val="36"/>
          <w:szCs w:val="36"/>
        </w:rPr>
      </w:pPr>
      <w:r w:rsidRPr="00713934">
        <w:rPr>
          <w:sz w:val="36"/>
          <w:szCs w:val="36"/>
        </w:rPr>
        <w:t>Final Project for E-Business</w:t>
      </w:r>
    </w:p>
    <w:p w:rsidR="00713934" w:rsidRDefault="00713934" w:rsidP="00713934">
      <w:pPr>
        <w:jc w:val="center"/>
        <w:rPr>
          <w:sz w:val="28"/>
          <w:szCs w:val="28"/>
        </w:rPr>
      </w:pPr>
    </w:p>
    <w:p w:rsidR="00713934" w:rsidRDefault="00713934" w:rsidP="00713934">
      <w:pPr>
        <w:jc w:val="center"/>
        <w:rPr>
          <w:sz w:val="28"/>
          <w:szCs w:val="28"/>
        </w:rPr>
      </w:pPr>
    </w:p>
    <w:p w:rsidR="00713934" w:rsidRPr="00713934" w:rsidRDefault="00713934" w:rsidP="00713934">
      <w:pPr>
        <w:jc w:val="center"/>
        <w:rPr>
          <w:sz w:val="28"/>
          <w:szCs w:val="28"/>
        </w:rPr>
      </w:pPr>
    </w:p>
    <w:p w:rsidR="00713934" w:rsidRPr="00713934" w:rsidRDefault="00713934" w:rsidP="00713934">
      <w:pPr>
        <w:jc w:val="center"/>
        <w:rPr>
          <w:sz w:val="28"/>
          <w:szCs w:val="28"/>
        </w:rPr>
      </w:pPr>
      <w:r w:rsidRPr="00713934">
        <w:rPr>
          <w:sz w:val="28"/>
          <w:szCs w:val="28"/>
        </w:rPr>
        <w:t>“Team INCOGNITO”</w:t>
      </w:r>
    </w:p>
    <w:p w:rsidR="00713934" w:rsidRPr="00713934" w:rsidRDefault="00713934" w:rsidP="00713934">
      <w:pPr>
        <w:jc w:val="center"/>
        <w:rPr>
          <w:sz w:val="28"/>
          <w:szCs w:val="28"/>
        </w:rPr>
      </w:pPr>
      <w:proofErr w:type="spellStart"/>
      <w:r w:rsidRPr="00713934">
        <w:rPr>
          <w:sz w:val="28"/>
          <w:szCs w:val="28"/>
        </w:rPr>
        <w:t>Calhil</w:t>
      </w:r>
      <w:proofErr w:type="spellEnd"/>
      <w:r w:rsidRPr="00713934">
        <w:rPr>
          <w:sz w:val="28"/>
          <w:szCs w:val="28"/>
        </w:rPr>
        <w:t xml:space="preserve"> T. </w:t>
      </w:r>
      <w:proofErr w:type="spellStart"/>
      <w:r w:rsidRPr="00713934">
        <w:rPr>
          <w:sz w:val="28"/>
          <w:szCs w:val="28"/>
        </w:rPr>
        <w:t>Baluyut</w:t>
      </w:r>
      <w:proofErr w:type="spellEnd"/>
    </w:p>
    <w:p w:rsidR="00713934" w:rsidRPr="00713934" w:rsidRDefault="00713934" w:rsidP="00713934">
      <w:pPr>
        <w:jc w:val="center"/>
        <w:rPr>
          <w:sz w:val="28"/>
          <w:szCs w:val="28"/>
        </w:rPr>
      </w:pPr>
      <w:r w:rsidRPr="00713934">
        <w:rPr>
          <w:sz w:val="28"/>
          <w:szCs w:val="28"/>
        </w:rPr>
        <w:t xml:space="preserve">Nelson O. </w:t>
      </w:r>
      <w:proofErr w:type="spellStart"/>
      <w:r w:rsidRPr="00713934">
        <w:rPr>
          <w:sz w:val="28"/>
          <w:szCs w:val="28"/>
        </w:rPr>
        <w:t>Guinmapang</w:t>
      </w:r>
      <w:proofErr w:type="spellEnd"/>
      <w:r w:rsidRPr="00713934">
        <w:rPr>
          <w:sz w:val="28"/>
          <w:szCs w:val="28"/>
        </w:rPr>
        <w:t xml:space="preserve"> Jr.</w:t>
      </w:r>
    </w:p>
    <w:p w:rsidR="00713934" w:rsidRPr="00713934" w:rsidRDefault="00713934" w:rsidP="00713934">
      <w:pPr>
        <w:jc w:val="center"/>
        <w:rPr>
          <w:sz w:val="28"/>
          <w:szCs w:val="28"/>
        </w:rPr>
      </w:pPr>
      <w:proofErr w:type="spellStart"/>
      <w:r w:rsidRPr="00713934">
        <w:rPr>
          <w:sz w:val="28"/>
          <w:szCs w:val="28"/>
        </w:rPr>
        <w:t>Jairus</w:t>
      </w:r>
      <w:proofErr w:type="spellEnd"/>
      <w:r w:rsidRPr="00713934">
        <w:rPr>
          <w:sz w:val="28"/>
          <w:szCs w:val="28"/>
        </w:rPr>
        <w:t xml:space="preserve"> V. </w:t>
      </w:r>
      <w:proofErr w:type="spellStart"/>
      <w:r w:rsidRPr="00713934">
        <w:rPr>
          <w:sz w:val="28"/>
          <w:szCs w:val="28"/>
        </w:rPr>
        <w:t>Lansang</w:t>
      </w:r>
      <w:proofErr w:type="spellEnd"/>
    </w:p>
    <w:p w:rsidR="00713934" w:rsidRPr="00713934" w:rsidRDefault="00713934" w:rsidP="00713934">
      <w:pPr>
        <w:jc w:val="center"/>
        <w:rPr>
          <w:sz w:val="28"/>
          <w:szCs w:val="28"/>
        </w:rPr>
      </w:pPr>
      <w:r w:rsidRPr="00713934">
        <w:rPr>
          <w:sz w:val="28"/>
          <w:szCs w:val="28"/>
        </w:rPr>
        <w:t xml:space="preserve">Michael M. </w:t>
      </w:r>
      <w:proofErr w:type="spellStart"/>
      <w:r w:rsidRPr="00713934">
        <w:rPr>
          <w:sz w:val="28"/>
          <w:szCs w:val="28"/>
        </w:rPr>
        <w:t>Magat</w:t>
      </w:r>
      <w:proofErr w:type="spellEnd"/>
    </w:p>
    <w:p w:rsidR="00713934" w:rsidRPr="00713934" w:rsidRDefault="00713934" w:rsidP="00713934">
      <w:pPr>
        <w:jc w:val="center"/>
        <w:rPr>
          <w:sz w:val="28"/>
          <w:szCs w:val="28"/>
        </w:rPr>
      </w:pPr>
    </w:p>
    <w:p w:rsidR="00713934" w:rsidRPr="00713934" w:rsidRDefault="00713934" w:rsidP="00713934">
      <w:pPr>
        <w:jc w:val="center"/>
        <w:rPr>
          <w:sz w:val="28"/>
          <w:szCs w:val="28"/>
        </w:rPr>
      </w:pPr>
      <w:r w:rsidRPr="00713934">
        <w:rPr>
          <w:sz w:val="28"/>
          <w:szCs w:val="28"/>
        </w:rPr>
        <w:t xml:space="preserve">Submitted to: </w:t>
      </w:r>
    </w:p>
    <w:p w:rsidR="00713934" w:rsidRPr="00713934" w:rsidRDefault="00713934" w:rsidP="00713934">
      <w:pPr>
        <w:jc w:val="center"/>
        <w:rPr>
          <w:sz w:val="28"/>
          <w:szCs w:val="28"/>
        </w:rPr>
      </w:pPr>
      <w:r w:rsidRPr="00713934">
        <w:rPr>
          <w:sz w:val="28"/>
          <w:szCs w:val="28"/>
        </w:rPr>
        <w:t xml:space="preserve">Mr. Paul </w:t>
      </w:r>
      <w:proofErr w:type="spellStart"/>
      <w:r w:rsidRPr="00713934">
        <w:rPr>
          <w:sz w:val="28"/>
          <w:szCs w:val="28"/>
        </w:rPr>
        <w:t>Pajo</w:t>
      </w:r>
      <w:proofErr w:type="spellEnd"/>
    </w:p>
    <w:p w:rsidR="00713934" w:rsidRPr="00713934" w:rsidRDefault="00713934" w:rsidP="00713934">
      <w:pPr>
        <w:jc w:val="center"/>
        <w:rPr>
          <w:sz w:val="40"/>
          <w:szCs w:val="40"/>
        </w:rPr>
      </w:pPr>
      <w:r w:rsidRPr="00713934">
        <w:rPr>
          <w:sz w:val="36"/>
          <w:szCs w:val="36"/>
        </w:rPr>
        <w:br w:type="page"/>
      </w:r>
    </w:p>
    <w:p w:rsidR="00676379" w:rsidRDefault="00676379" w:rsidP="00676379">
      <w:r>
        <w:object w:dxaOrig="11755" w:dyaOrig="2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88.15pt" o:ole="">
            <v:imagedata r:id="rId4" o:title=""/>
          </v:shape>
          <o:OLEObject Type="Embed" ProgID="Visio.Drawing.11" ShapeID="_x0000_i1025" DrawAspect="Content" ObjectID="_1324492141" r:id="rId5"/>
        </w:object>
      </w:r>
    </w:p>
    <w:p w:rsidR="00676379" w:rsidRDefault="00676379" w:rsidP="00676379">
      <w:pPr>
        <w:rPr>
          <w:sz w:val="28"/>
          <w:szCs w:val="28"/>
        </w:rPr>
      </w:pPr>
    </w:p>
    <w:p w:rsidR="00676379" w:rsidRDefault="00676379" w:rsidP="00676379">
      <w:pPr>
        <w:jc w:val="center"/>
        <w:rPr>
          <w:sz w:val="28"/>
          <w:szCs w:val="28"/>
        </w:rPr>
      </w:pPr>
      <w:r w:rsidRPr="00CF3A2F">
        <w:rPr>
          <w:sz w:val="28"/>
          <w:szCs w:val="28"/>
        </w:rPr>
        <w:t>Content Provider</w:t>
      </w:r>
    </w:p>
    <w:p w:rsidR="00676379" w:rsidRPr="00B44847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4847">
        <w:rPr>
          <w:rFonts w:cstheme="minorHAnsi"/>
          <w:b/>
          <w:bCs/>
        </w:rPr>
        <w:t>Rel</w:t>
      </w:r>
      <w:r>
        <w:rPr>
          <w:rFonts w:cstheme="minorHAnsi"/>
          <w:b/>
          <w:bCs/>
        </w:rPr>
        <w:t xml:space="preserve">ationship: </w:t>
      </w:r>
      <w:r w:rsidRPr="00B44847">
        <w:rPr>
          <w:rFonts w:cstheme="minorHAnsi"/>
          <w:b/>
          <w:bCs/>
        </w:rPr>
        <w:t xml:space="preserve"> Content providers tend not to own the relationship with the customer.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 xml:space="preserve">They provide information to </w:t>
      </w:r>
      <w:proofErr w:type="spellStart"/>
      <w:r w:rsidRPr="00B44847">
        <w:rPr>
          <w:rFonts w:cstheme="minorHAnsi"/>
          <w:b/>
          <w:bCs/>
        </w:rPr>
        <w:t>complementors</w:t>
      </w:r>
      <w:proofErr w:type="spellEnd"/>
      <w:r w:rsidRPr="00B44847">
        <w:rPr>
          <w:rFonts w:cstheme="minorHAnsi"/>
          <w:b/>
          <w:bCs/>
        </w:rPr>
        <w:t>, who resell their services to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>customers, for subscriptions, as in the Wall Street Journal Interactive.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>Please note that they may sometimes share the customer relationship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 xml:space="preserve">with the customer if they brand their content, as in the case of </w:t>
      </w:r>
      <w:r>
        <w:rPr>
          <w:rFonts w:cstheme="minorHAnsi"/>
          <w:b/>
          <w:bCs/>
        </w:rPr>
        <w:t>AOL</w:t>
      </w:r>
    </w:p>
    <w:p w:rsidR="00676379" w:rsidRPr="00B44847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4847">
        <w:rPr>
          <w:rFonts w:cstheme="minorHAnsi"/>
          <w:b/>
          <w:bCs/>
        </w:rPr>
        <w:t>Data</w:t>
      </w:r>
      <w:r>
        <w:rPr>
          <w:rFonts w:cstheme="minorHAnsi"/>
          <w:b/>
          <w:bCs/>
        </w:rPr>
        <w:t>:</w:t>
      </w:r>
      <w:r w:rsidRPr="00B44847">
        <w:rPr>
          <w:rFonts w:cstheme="minorHAnsi"/>
          <w:b/>
          <w:bCs/>
        </w:rPr>
        <w:t xml:space="preserve"> Rarely do content providers have direct access to customer data, but a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>strategic partnership could realize this potentiality</w:t>
      </w:r>
    </w:p>
    <w:p w:rsidR="00676379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4847">
        <w:rPr>
          <w:rFonts w:cstheme="minorHAnsi"/>
          <w:b/>
          <w:bCs/>
        </w:rPr>
        <w:t>Trans</w:t>
      </w:r>
      <w:r>
        <w:rPr>
          <w:rFonts w:cstheme="minorHAnsi"/>
          <w:b/>
          <w:bCs/>
        </w:rPr>
        <w:t>actions:</w:t>
      </w:r>
      <w:r w:rsidRPr="00B44847">
        <w:rPr>
          <w:rFonts w:cstheme="minorHAnsi"/>
          <w:b/>
          <w:bCs/>
        </w:rPr>
        <w:t xml:space="preserve"> Customers perceive that they are dealing with CNN Interactive. Even if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>the content is branded, customers know which Web site they are working</w:t>
      </w:r>
      <w:r>
        <w:rPr>
          <w:rFonts w:cstheme="minorHAnsi"/>
          <w:b/>
          <w:bCs/>
        </w:rPr>
        <w:t xml:space="preserve"> </w:t>
      </w:r>
      <w:r w:rsidRPr="00B44847">
        <w:rPr>
          <w:rFonts w:cstheme="minorHAnsi"/>
          <w:b/>
          <w:bCs/>
        </w:rPr>
        <w:t>with.</w:t>
      </w:r>
    </w:p>
    <w:p w:rsidR="00676379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76379" w:rsidRDefault="00676379" w:rsidP="00676379"/>
    <w:p w:rsidR="00676379" w:rsidRDefault="00676379" w:rsidP="00676379">
      <w:r>
        <w:object w:dxaOrig="10495" w:dyaOrig="1850">
          <v:shape id="_x0000_i1026" type="#_x0000_t75" style="width:466.75pt;height:81.95pt" o:ole="">
            <v:imagedata r:id="rId6" o:title=""/>
          </v:shape>
          <o:OLEObject Type="Embed" ProgID="Visio.Drawing.11" ShapeID="_x0000_i1026" DrawAspect="Content" ObjectID="_1324492142" r:id="rId7"/>
        </w:object>
      </w:r>
    </w:p>
    <w:p w:rsidR="00676379" w:rsidRDefault="00676379" w:rsidP="00676379"/>
    <w:p w:rsidR="00676379" w:rsidRDefault="00676379" w:rsidP="00676379">
      <w:pPr>
        <w:jc w:val="center"/>
        <w:rPr>
          <w:sz w:val="28"/>
          <w:szCs w:val="28"/>
        </w:rPr>
      </w:pPr>
      <w:r w:rsidRPr="005155F4">
        <w:rPr>
          <w:sz w:val="28"/>
          <w:szCs w:val="28"/>
        </w:rPr>
        <w:t>Direct to Customer</w:t>
      </w:r>
    </w:p>
    <w:p w:rsidR="00676379" w:rsidRPr="00B24FFC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FFC">
        <w:rPr>
          <w:rFonts w:cstheme="minorHAnsi"/>
          <w:b/>
          <w:bCs/>
        </w:rPr>
        <w:t>Re</w:t>
      </w:r>
      <w:r>
        <w:rPr>
          <w:rFonts w:cstheme="minorHAnsi"/>
          <w:b/>
          <w:bCs/>
        </w:rPr>
        <w:t xml:space="preserve">lationship: </w:t>
      </w:r>
      <w:r w:rsidRPr="00B24FFC">
        <w:rPr>
          <w:rFonts w:cstheme="minorHAnsi"/>
          <w:b/>
          <w:bCs/>
        </w:rPr>
        <w:t xml:space="preserve"> Direct-to-consumer models own the relationship as they are the firm of</w:t>
      </w:r>
      <w:r>
        <w:rPr>
          <w:rFonts w:cstheme="minorHAnsi"/>
          <w:b/>
          <w:bCs/>
        </w:rPr>
        <w:t xml:space="preserve"> </w:t>
      </w:r>
      <w:r w:rsidRPr="00B24FFC">
        <w:rPr>
          <w:rFonts w:cstheme="minorHAnsi"/>
          <w:b/>
          <w:bCs/>
        </w:rPr>
        <w:t>record for all services and good dispensed to the customer.</w:t>
      </w:r>
    </w:p>
    <w:p w:rsidR="00676379" w:rsidRPr="00B24FFC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FFC">
        <w:rPr>
          <w:rFonts w:cstheme="minorHAnsi"/>
          <w:b/>
          <w:bCs/>
        </w:rPr>
        <w:t>Data</w:t>
      </w:r>
      <w:r>
        <w:rPr>
          <w:rFonts w:cstheme="minorHAnsi"/>
          <w:b/>
          <w:bCs/>
        </w:rPr>
        <w:t>:</w:t>
      </w:r>
      <w:r w:rsidRPr="00B24FFC">
        <w:rPr>
          <w:rFonts w:cstheme="minorHAnsi"/>
          <w:b/>
          <w:bCs/>
        </w:rPr>
        <w:t xml:space="preserve"> This model also owns the behavioural data related to the customer</w:t>
      </w:r>
      <w:r>
        <w:rPr>
          <w:rFonts w:cstheme="minorHAnsi"/>
          <w:b/>
          <w:bCs/>
        </w:rPr>
        <w:t xml:space="preserve"> </w:t>
      </w:r>
      <w:r w:rsidRPr="00B24FFC">
        <w:rPr>
          <w:rFonts w:cstheme="minorHAnsi"/>
          <w:b/>
          <w:bCs/>
        </w:rPr>
        <w:t>purchases and after sales interactions.</w:t>
      </w:r>
    </w:p>
    <w:p w:rsidR="00676379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FFC">
        <w:rPr>
          <w:rFonts w:cstheme="minorHAnsi"/>
          <w:b/>
          <w:bCs/>
        </w:rPr>
        <w:t>Trans</w:t>
      </w:r>
      <w:r>
        <w:rPr>
          <w:rFonts w:cstheme="minorHAnsi"/>
          <w:b/>
          <w:bCs/>
        </w:rPr>
        <w:t>actions:</w:t>
      </w:r>
      <w:r w:rsidRPr="00B24FFC">
        <w:rPr>
          <w:rFonts w:cstheme="minorHAnsi"/>
          <w:b/>
          <w:bCs/>
        </w:rPr>
        <w:t xml:space="preserve"> Customers perceive that they are deali</w:t>
      </w:r>
      <w:r>
        <w:rPr>
          <w:rFonts w:cstheme="minorHAnsi"/>
          <w:b/>
          <w:bCs/>
        </w:rPr>
        <w:t>ng with Dell or e-Trade. Even i</w:t>
      </w:r>
      <w:r w:rsidRPr="00B24FFC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 xml:space="preserve"> the hosting of the </w:t>
      </w:r>
      <w:r w:rsidRPr="00B24FFC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ransaction is outsourced, the </w:t>
      </w:r>
      <w:proofErr w:type="spellStart"/>
      <w:proofErr w:type="gramStart"/>
      <w:r>
        <w:rPr>
          <w:rFonts w:cstheme="minorHAnsi"/>
          <w:b/>
          <w:bCs/>
        </w:rPr>
        <w:t>UR</w:t>
      </w:r>
      <w:r w:rsidRPr="00B24FFC">
        <w:rPr>
          <w:rFonts w:cstheme="minorHAnsi"/>
          <w:b/>
          <w:bCs/>
        </w:rPr>
        <w:t>l</w:t>
      </w:r>
      <w:proofErr w:type="spellEnd"/>
      <w:proofErr w:type="gramEnd"/>
      <w:r w:rsidRPr="00B24FFC">
        <w:rPr>
          <w:rFonts w:cstheme="minorHAnsi"/>
          <w:b/>
          <w:bCs/>
        </w:rPr>
        <w:t xml:space="preserve"> of note is threat of</w:t>
      </w:r>
      <w:r>
        <w:rPr>
          <w:rFonts w:cstheme="minorHAnsi"/>
          <w:b/>
          <w:bCs/>
        </w:rPr>
        <w:t xml:space="preserve"> </w:t>
      </w:r>
      <w:r w:rsidRPr="00B24FFC">
        <w:rPr>
          <w:rFonts w:cstheme="minorHAnsi"/>
          <w:b/>
          <w:bCs/>
        </w:rPr>
        <w:t>the firm. This is a very powerful model for e-Commerce, with respect to</w:t>
      </w:r>
      <w:r>
        <w:rPr>
          <w:rFonts w:cstheme="minorHAnsi"/>
          <w:b/>
          <w:bCs/>
        </w:rPr>
        <w:t xml:space="preserve"> </w:t>
      </w:r>
      <w:r w:rsidRPr="00B24FFC">
        <w:rPr>
          <w:rFonts w:cstheme="minorHAnsi"/>
          <w:b/>
          <w:bCs/>
        </w:rPr>
        <w:t>resources.</w:t>
      </w:r>
    </w:p>
    <w:p w:rsidR="00676379" w:rsidRDefault="00676379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46517" w:rsidRDefault="00B46517" w:rsidP="00B46517">
      <w:r>
        <w:object w:dxaOrig="11575" w:dyaOrig="4015">
          <v:shape id="_x0000_i1028" type="#_x0000_t75" style="width:466.75pt;height:162.6pt" o:ole="">
            <v:imagedata r:id="rId8" o:title=""/>
          </v:shape>
          <o:OLEObject Type="Embed" ProgID="Visio.Drawing.11" ShapeID="_x0000_i1028" DrawAspect="Content" ObjectID="_1324492143" r:id="rId9"/>
        </w:object>
      </w:r>
    </w:p>
    <w:p w:rsidR="00B46517" w:rsidRDefault="00B46517" w:rsidP="00B46517">
      <w:pPr>
        <w:jc w:val="center"/>
        <w:rPr>
          <w:sz w:val="28"/>
          <w:szCs w:val="28"/>
        </w:rPr>
      </w:pPr>
      <w:r w:rsidRPr="00FC5F5B">
        <w:rPr>
          <w:sz w:val="28"/>
          <w:szCs w:val="28"/>
        </w:rPr>
        <w:t>Full Service Provider</w:t>
      </w:r>
    </w:p>
    <w:p w:rsidR="00B46517" w:rsidRPr="00FC5F5B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C5F5B">
        <w:rPr>
          <w:rFonts w:cstheme="minorHAnsi"/>
          <w:bCs/>
        </w:rPr>
        <w:t>Rel</w:t>
      </w:r>
      <w:r>
        <w:rPr>
          <w:rFonts w:cstheme="minorHAnsi"/>
          <w:bCs/>
        </w:rPr>
        <w:t>ationship:</w:t>
      </w:r>
      <w:r w:rsidRPr="00FC5F5B">
        <w:rPr>
          <w:rFonts w:cstheme="minorHAnsi"/>
          <w:bCs/>
        </w:rPr>
        <w:t xml:space="preserve"> Full-Service providers own the primary relationship with the customer,</w:t>
      </w:r>
      <w:r>
        <w:rPr>
          <w:rFonts w:cstheme="minorHAnsi"/>
          <w:bCs/>
        </w:rPr>
        <w:t xml:space="preserve"> although nothing </w:t>
      </w:r>
      <w:r w:rsidRPr="00FC5F5B">
        <w:rPr>
          <w:rFonts w:cstheme="minorHAnsi"/>
          <w:bCs/>
        </w:rPr>
        <w:t>prohibits the customer from interacting directly with a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supplier or a reseller. There are few examples of mature firms in this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category, but Prudential's Advisor and Bank One's Wingspan are close.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Fidelity would be a likely possibility for initiating this model.</w:t>
      </w:r>
    </w:p>
    <w:p w:rsidR="00B46517" w:rsidRPr="00FC5F5B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C5F5B">
        <w:rPr>
          <w:rFonts w:cstheme="minorHAnsi"/>
          <w:bCs/>
        </w:rPr>
        <w:t>Data</w:t>
      </w:r>
      <w:r>
        <w:rPr>
          <w:rFonts w:cstheme="minorHAnsi"/>
          <w:bCs/>
        </w:rPr>
        <w:t>:</w:t>
      </w:r>
      <w:r w:rsidRPr="00FC5F5B">
        <w:rPr>
          <w:rFonts w:cstheme="minorHAnsi"/>
          <w:bCs/>
        </w:rPr>
        <w:t xml:space="preserve"> They also own the data, and share with suppliers or resellers only to the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extent that there are mutual benefits accruing from the partnerships.</w:t>
      </w:r>
    </w:p>
    <w:p w:rsidR="00B46517" w:rsidRPr="00FC5F5B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C5F5B">
        <w:rPr>
          <w:rFonts w:cstheme="minorHAnsi"/>
          <w:bCs/>
        </w:rPr>
        <w:t>Trans</w:t>
      </w:r>
      <w:r>
        <w:rPr>
          <w:rFonts w:cstheme="minorHAnsi"/>
          <w:bCs/>
        </w:rPr>
        <w:t>action:</w:t>
      </w:r>
      <w:r w:rsidRPr="00FC5F5B">
        <w:rPr>
          <w:rFonts w:cstheme="minorHAnsi"/>
          <w:bCs/>
        </w:rPr>
        <w:t xml:space="preserve"> Customers perceive that they are dealing with the full-service provider.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Even if the content is branded, customers know which Web site they are</w:t>
      </w:r>
      <w:r>
        <w:rPr>
          <w:rFonts w:cstheme="minorHAnsi"/>
          <w:bCs/>
        </w:rPr>
        <w:t xml:space="preserve"> </w:t>
      </w:r>
      <w:r w:rsidRPr="00FC5F5B">
        <w:rPr>
          <w:rFonts w:cstheme="minorHAnsi"/>
          <w:bCs/>
        </w:rPr>
        <w:t>working with.</w:t>
      </w:r>
    </w:p>
    <w:p w:rsidR="00B46517" w:rsidRDefault="00B46517" w:rsidP="00676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6231B" w:rsidRDefault="0096231B" w:rsidP="0096231B"/>
    <w:p w:rsidR="0096231B" w:rsidRDefault="0096231B" w:rsidP="0096231B"/>
    <w:p w:rsidR="0096231B" w:rsidRDefault="005D6589" w:rsidP="0096231B">
      <w:r w:rsidRPr="005D6589">
        <w:rPr>
          <w:noProof/>
          <w:lang w:val="en-US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margin-left:161pt;margin-top:9.5pt;width:121.5pt;height:46pt;z-index:25166643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27">
              <w:txbxContent>
                <w:p w:rsidR="0096231B" w:rsidRDefault="0096231B" w:rsidP="0096231B">
                  <w:r>
                    <w:t>INTERMEDIATOR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6pt;margin-top:31pt;width:74.5pt;height:0;z-index:251671552" o:connectortype="straight"/>
        </w:pict>
      </w:r>
      <w:r w:rsidRPr="005D6589">
        <w:rPr>
          <w:noProof/>
          <w:lang w:val="en-U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5" type="#_x0000_t93" style="position:absolute;margin-left:90pt;margin-top:-23.5pt;width:266pt;height:27.5pt;flip:x;z-index:251674624" adj="18636,5380" fillcolor="white [3201]" strokecolor="#8064a2 [3207]" strokeweight="2.5pt">
            <v:shadow color="#868686"/>
            <v:textbox>
              <w:txbxContent>
                <w:p w:rsidR="0096231B" w:rsidRPr="00584B56" w:rsidRDefault="0096231B" w:rsidP="0096231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SALES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rect id="_x0000_s1028" style="position:absolute;margin-left:363.5pt;margin-top:-25pt;width:90.25pt;height:113pt;z-index:25166745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028">
              <w:txbxContent>
                <w:p w:rsidR="0096231B" w:rsidRPr="001C186D" w:rsidRDefault="0096231B" w:rsidP="0096231B">
                  <w:pPr>
                    <w:rPr>
                      <w:sz w:val="24"/>
                    </w:rPr>
                  </w:pPr>
                  <w:r w:rsidRPr="001C186D">
                    <w:rPr>
                      <w:sz w:val="24"/>
                    </w:rPr>
                    <w:t>CUSTOMER/ MARKET PLACE</w:t>
                  </w:r>
                </w:p>
              </w:txbxContent>
            </v:textbox>
          </v:rect>
        </w:pict>
      </w:r>
      <w:r w:rsidRPr="005D6589">
        <w:rPr>
          <w:noProof/>
          <w:lang w:val="en-US"/>
        </w:rPr>
        <w:pict>
          <v:rect id="_x0000_s1026" style="position:absolute;margin-left:-6.75pt;margin-top:-25pt;width:90.25pt;height:113pt;z-index:251665408" fillcolor="#9bbb59 [3206]" strokecolor="#f2f2f2 [3041]" strokeweight="1pt">
            <v:fill color2="#4e6128 [1606]" angle="-135" focusposition="1" focussize="" focus="100%" type="gradient"/>
            <v:shadow on="t" type="perspective" color="#d6e3bc [1302]" opacity=".5" origin=",.5" offset="0,0" matrix=",-56756f,,.5"/>
            <v:textbox style="mso-next-textbox:#_x0000_s1026">
              <w:txbxContent>
                <w:p w:rsidR="0096231B" w:rsidRPr="003A3F57" w:rsidRDefault="0096231B" w:rsidP="0096231B">
                  <w:pPr>
                    <w:rPr>
                      <w:sz w:val="32"/>
                    </w:rPr>
                  </w:pPr>
                  <w:r w:rsidRPr="003A3F57">
                    <w:rPr>
                      <w:sz w:val="32"/>
                    </w:rPr>
                    <w:t>Supplier of different products</w:t>
                  </w:r>
                </w:p>
              </w:txbxContent>
            </v:textbox>
          </v:rect>
        </w:pict>
      </w:r>
      <w:r w:rsidRPr="005D6589">
        <w:rPr>
          <w:noProof/>
          <w:lang w:val="en-US"/>
        </w:rPr>
        <w:pict>
          <v:shape id="_x0000_s1034" type="#_x0000_t93" style="position:absolute;margin-left:87pt;margin-top:63pt;width:269pt;height:25pt;z-index:251673600" fillcolor="white [3201]" strokecolor="#8064a2 [3207]" strokeweight="2.5pt">
            <v:shadow color="#868686"/>
            <v:textbox>
              <w:txbxContent>
                <w:p w:rsidR="0096231B" w:rsidRPr="00584B56" w:rsidRDefault="0096231B" w:rsidP="0096231B">
                  <w:pPr>
                    <w:rPr>
                      <w:sz w:val="16"/>
                    </w:rPr>
                  </w:pPr>
                  <w:r w:rsidRPr="00584B56">
                    <w:rPr>
                      <w:sz w:val="16"/>
                    </w:rPr>
                    <w:t>Products</w:t>
                  </w:r>
                  <w:r>
                    <w:rPr>
                      <w:sz w:val="16"/>
                    </w:rPr>
                    <w:t xml:space="preserve"> &amp; Information</w:t>
                  </w:r>
                  <w:r>
                    <w:rPr>
                      <w:sz w:val="16"/>
                    </w:rPr>
                    <w:br/>
                    <w:t>&amp;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84pt;margin-top:3pt;width:76.5pt;height:25pt;z-index:251672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6231B" w:rsidRPr="001C186D" w:rsidRDefault="0096231B" w:rsidP="0096231B">
                  <w:pPr>
                    <w:rPr>
                      <w:sz w:val="14"/>
                    </w:rPr>
                  </w:pPr>
                  <w:r w:rsidRPr="001C186D">
                    <w:rPr>
                      <w:sz w:val="14"/>
                    </w:rPr>
                    <w:t>Needed products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 id="_x0000_s1029" type="#_x0000_t93" style="position:absolute;margin-left:86pt;margin-top:34pt;width:70pt;height:26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96231B" w:rsidRPr="00584B56" w:rsidRDefault="0096231B" w:rsidP="0096231B">
                  <w:pPr>
                    <w:rPr>
                      <w:sz w:val="12"/>
                    </w:rPr>
                  </w:pPr>
                  <w:r w:rsidRPr="00584B56">
                    <w:rPr>
                      <w:sz w:val="12"/>
                    </w:rPr>
                    <w:t>Acquire service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 id="_x0000_s1031" type="#_x0000_t32" style="position:absolute;margin-left:87pt;margin-top:30.5pt;width:65.5pt;height:0;z-index:251670528" o:connectortype="straight"/>
        </w:pict>
      </w:r>
      <w:r w:rsidRPr="005D6589">
        <w:rPr>
          <w:noProof/>
          <w:lang w:val="en-US"/>
        </w:rPr>
        <w:pict>
          <v:shape id="_x0000_s1030" type="#_x0000_t93" style="position:absolute;margin-left:287pt;margin-top:34pt;width:69pt;height:25.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96231B" w:rsidRPr="00584B56" w:rsidRDefault="0096231B" w:rsidP="0096231B">
                  <w:pPr>
                    <w:rPr>
                      <w:sz w:val="16"/>
                    </w:rPr>
                  </w:pPr>
                  <w:proofErr w:type="gramStart"/>
                  <w:r w:rsidRPr="00584B56">
                    <w:rPr>
                      <w:sz w:val="16"/>
                    </w:rPr>
                    <w:t>information</w:t>
                  </w:r>
                  <w:proofErr w:type="gramEnd"/>
                </w:p>
              </w:txbxContent>
            </v:textbox>
          </v:shape>
        </w:pict>
      </w:r>
    </w:p>
    <w:p w:rsidR="00676379" w:rsidRDefault="00676379"/>
    <w:p w:rsidR="0096231B" w:rsidRDefault="0096231B"/>
    <w:p w:rsidR="0096231B" w:rsidRDefault="0096231B"/>
    <w:p w:rsidR="0096231B" w:rsidRDefault="0096231B"/>
    <w:p w:rsidR="0096231B" w:rsidRPr="0096231B" w:rsidRDefault="0096231B" w:rsidP="0096231B">
      <w:pPr>
        <w:jc w:val="center"/>
        <w:rPr>
          <w:rFonts w:cstheme="minorHAnsi"/>
          <w:sz w:val="28"/>
          <w:szCs w:val="28"/>
        </w:rPr>
      </w:pPr>
      <w:r w:rsidRPr="0096231B">
        <w:rPr>
          <w:rFonts w:cstheme="minorHAnsi"/>
          <w:sz w:val="28"/>
          <w:szCs w:val="28"/>
        </w:rPr>
        <w:t>Intermediary</w:t>
      </w:r>
    </w:p>
    <w:p w:rsidR="0096231B" w:rsidRPr="0096231B" w:rsidRDefault="0096231B" w:rsidP="009623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6231B">
        <w:rPr>
          <w:rFonts w:cstheme="minorHAnsi"/>
          <w:bCs/>
        </w:rPr>
        <w:t>Rel</w:t>
      </w:r>
      <w:r>
        <w:rPr>
          <w:rFonts w:cstheme="minorHAnsi"/>
          <w:bCs/>
        </w:rPr>
        <w:t xml:space="preserve">ationship: </w:t>
      </w:r>
      <w:r w:rsidRPr="0096231B">
        <w:rPr>
          <w:rFonts w:cstheme="minorHAnsi"/>
          <w:bCs/>
        </w:rPr>
        <w:t xml:space="preserve"> Intermediaries are the primary contact point with the customers, so they</w:t>
      </w:r>
      <w:r>
        <w:rPr>
          <w:rFonts w:cstheme="minorHAnsi"/>
          <w:bCs/>
        </w:rPr>
        <w:t xml:space="preserve"> </w:t>
      </w:r>
      <w:r w:rsidRPr="0096231B">
        <w:rPr>
          <w:rFonts w:cstheme="minorHAnsi"/>
          <w:bCs/>
        </w:rPr>
        <w:t>own the relationship. Secondarily, they refer customers to suppliers or</w:t>
      </w:r>
      <w:r>
        <w:rPr>
          <w:rFonts w:cstheme="minorHAnsi"/>
          <w:bCs/>
        </w:rPr>
        <w:t xml:space="preserve"> </w:t>
      </w:r>
      <w:r w:rsidRPr="0096231B">
        <w:rPr>
          <w:rFonts w:cstheme="minorHAnsi"/>
          <w:bCs/>
        </w:rPr>
        <w:t>complementary, who do not own the relationship with the customer.</w:t>
      </w:r>
    </w:p>
    <w:p w:rsidR="0096231B" w:rsidRDefault="0096231B" w:rsidP="009623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6231B">
        <w:rPr>
          <w:rFonts w:cstheme="minorHAnsi"/>
          <w:bCs/>
        </w:rPr>
        <w:t>Data</w:t>
      </w:r>
      <w:r>
        <w:rPr>
          <w:rFonts w:cstheme="minorHAnsi"/>
          <w:bCs/>
        </w:rPr>
        <w:t xml:space="preserve">: </w:t>
      </w:r>
      <w:r w:rsidRPr="0096231B">
        <w:rPr>
          <w:rFonts w:cstheme="minorHAnsi"/>
          <w:bCs/>
        </w:rPr>
        <w:t xml:space="preserve"> In fact, intermediaries can learn a great deal about customer comparison</w:t>
      </w:r>
      <w:r>
        <w:rPr>
          <w:rFonts w:cstheme="minorHAnsi"/>
          <w:bCs/>
        </w:rPr>
        <w:t xml:space="preserve"> </w:t>
      </w:r>
      <w:r w:rsidRPr="0096231B">
        <w:rPr>
          <w:rFonts w:cstheme="minorHAnsi"/>
          <w:bCs/>
        </w:rPr>
        <w:t>shopping behaviour, but they may or may not have access to the customer</w:t>
      </w:r>
      <w:r>
        <w:rPr>
          <w:rFonts w:cstheme="minorHAnsi"/>
          <w:bCs/>
        </w:rPr>
        <w:t xml:space="preserve"> </w:t>
      </w:r>
      <w:r w:rsidRPr="0096231B">
        <w:rPr>
          <w:rFonts w:cstheme="minorHAnsi"/>
          <w:bCs/>
        </w:rPr>
        <w:t>purchasing behaviour data. That may be retained by the supplier.</w:t>
      </w:r>
    </w:p>
    <w:p w:rsidR="003B0C38" w:rsidRDefault="005930A8" w:rsidP="009623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6231B">
        <w:rPr>
          <w:rFonts w:cstheme="minorHAnsi"/>
          <w:bCs/>
        </w:rPr>
        <w:t>Trans</w:t>
      </w:r>
      <w:r>
        <w:rPr>
          <w:rFonts w:cstheme="minorHAnsi"/>
          <w:bCs/>
        </w:rPr>
        <w:t xml:space="preserve">actions: </w:t>
      </w:r>
      <w:r w:rsidRPr="0096231B">
        <w:rPr>
          <w:rFonts w:cstheme="minorHAnsi"/>
          <w:bCs/>
        </w:rPr>
        <w:t xml:space="preserve"> The supplier conducts the transaction at their site, and the customer is</w:t>
      </w:r>
      <w:r>
        <w:rPr>
          <w:rFonts w:cstheme="minorHAnsi"/>
          <w:bCs/>
        </w:rPr>
        <w:t xml:space="preserve"> </w:t>
      </w:r>
      <w:r w:rsidRPr="0096231B">
        <w:rPr>
          <w:rFonts w:cstheme="minorHAnsi"/>
          <w:bCs/>
        </w:rPr>
        <w:t>well aware of this</w:t>
      </w:r>
      <w:r w:rsidR="000F5796">
        <w:rPr>
          <w:rFonts w:cstheme="minorHAnsi"/>
          <w:bCs/>
        </w:rPr>
        <w:t xml:space="preserve"> since they are linked to another site. </w:t>
      </w:r>
    </w:p>
    <w:p w:rsidR="00B46517" w:rsidRPr="003B0C38" w:rsidRDefault="00B46517" w:rsidP="00B46517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  <w:r>
        <w:object w:dxaOrig="11395" w:dyaOrig="4885">
          <v:shape id="_x0000_i1029" type="#_x0000_t75" style="width:468pt;height:199.85pt" o:ole="">
            <v:imagedata r:id="rId10" o:title=""/>
          </v:shape>
          <o:OLEObject Type="Embed" ProgID="Visio.Drawing.11" ShapeID="_x0000_i1029" DrawAspect="Content" ObjectID="_1324492144" r:id="rId11"/>
        </w:object>
      </w:r>
    </w:p>
    <w:p w:rsidR="00B46517" w:rsidRDefault="00B46517" w:rsidP="00B46517"/>
    <w:p w:rsidR="00B46517" w:rsidRDefault="00B46517" w:rsidP="00B46517">
      <w:pPr>
        <w:jc w:val="center"/>
        <w:rPr>
          <w:sz w:val="28"/>
          <w:szCs w:val="28"/>
        </w:rPr>
      </w:pPr>
      <w:r>
        <w:rPr>
          <w:sz w:val="28"/>
          <w:szCs w:val="28"/>
        </w:rPr>
        <w:t>Shared Infrastructure</w:t>
      </w:r>
    </w:p>
    <w:p w:rsidR="00B46517" w:rsidRPr="00AD26BF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D26BF">
        <w:rPr>
          <w:rFonts w:cstheme="minorHAnsi"/>
          <w:bCs/>
        </w:rPr>
        <w:t>Rel</w:t>
      </w:r>
      <w:r>
        <w:rPr>
          <w:rFonts w:cstheme="minorHAnsi"/>
          <w:bCs/>
        </w:rPr>
        <w:t>ationship:</w:t>
      </w:r>
      <w:r w:rsidRPr="00AD26BF">
        <w:rPr>
          <w:rFonts w:cstheme="minorHAnsi"/>
          <w:bCs/>
        </w:rPr>
        <w:t xml:space="preserve"> Shared infrastructure models have several advantages, but owning the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>relationship is not one of them. In fact, from the standpoint of an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 xml:space="preserve">individual owner firm, it </w:t>
      </w:r>
      <w:r>
        <w:rPr>
          <w:rFonts w:cstheme="minorHAnsi"/>
          <w:bCs/>
        </w:rPr>
        <w:t xml:space="preserve">is advantageous that the buying </w:t>
      </w:r>
      <w:r w:rsidRPr="00AD26BF">
        <w:rPr>
          <w:rFonts w:cstheme="minorHAnsi"/>
          <w:bCs/>
        </w:rPr>
        <w:t>or selling party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>identifies with themselves rather than with the infrastructure. Were it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>otherwise, this model would not work.</w:t>
      </w:r>
    </w:p>
    <w:p w:rsidR="00B46517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D26BF">
        <w:rPr>
          <w:rFonts w:cstheme="minorHAnsi"/>
          <w:bCs/>
        </w:rPr>
        <w:t>Data</w:t>
      </w:r>
      <w:r>
        <w:rPr>
          <w:rFonts w:cstheme="minorHAnsi"/>
          <w:bCs/>
        </w:rPr>
        <w:t>:</w:t>
      </w:r>
      <w:r w:rsidRPr="00AD26BF">
        <w:rPr>
          <w:rFonts w:cstheme="minorHAnsi"/>
          <w:bCs/>
        </w:rPr>
        <w:t xml:space="preserve"> The owners of the shared infrastructure own data relating to their own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>activities. Non</w:t>
      </w:r>
      <w:r>
        <w:rPr>
          <w:rFonts w:cstheme="minorHAnsi"/>
          <w:bCs/>
        </w:rPr>
        <w:t>-</w:t>
      </w:r>
      <w:r w:rsidRPr="00AD26BF">
        <w:rPr>
          <w:rFonts w:cstheme="minorHAnsi"/>
          <w:bCs/>
        </w:rPr>
        <w:t>owners may or may not be given access to this data.</w:t>
      </w:r>
      <w:r>
        <w:rPr>
          <w:rFonts w:cstheme="minorHAnsi"/>
          <w:bCs/>
        </w:rPr>
        <w:t xml:space="preserve"> </w:t>
      </w:r>
    </w:p>
    <w:p w:rsidR="00B46517" w:rsidRPr="00AD26BF" w:rsidRDefault="00B46517" w:rsidP="00B46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D26BF">
        <w:rPr>
          <w:rFonts w:cstheme="minorHAnsi"/>
          <w:bCs/>
        </w:rPr>
        <w:t>Tran</w:t>
      </w:r>
      <w:r>
        <w:rPr>
          <w:rFonts w:cstheme="minorHAnsi"/>
          <w:bCs/>
        </w:rPr>
        <w:t>sactions:</w:t>
      </w:r>
      <w:r w:rsidRPr="00AD26BF">
        <w:rPr>
          <w:rFonts w:cstheme="minorHAnsi"/>
          <w:bCs/>
        </w:rPr>
        <w:t xml:space="preserve"> Owners and non</w:t>
      </w:r>
      <w:r>
        <w:rPr>
          <w:rFonts w:cstheme="minorHAnsi"/>
          <w:bCs/>
        </w:rPr>
        <w:t>-</w:t>
      </w:r>
      <w:r w:rsidRPr="00AD26BF">
        <w:rPr>
          <w:rFonts w:cstheme="minorHAnsi"/>
          <w:bCs/>
        </w:rPr>
        <w:t>owners own the transaction since the buyer or seller, as</w:t>
      </w:r>
      <w:r>
        <w:rPr>
          <w:rFonts w:cstheme="minorHAnsi"/>
          <w:bCs/>
        </w:rPr>
        <w:t xml:space="preserve"> </w:t>
      </w:r>
      <w:r w:rsidRPr="00AD26BF">
        <w:rPr>
          <w:rFonts w:cstheme="minorHAnsi"/>
          <w:bCs/>
        </w:rPr>
        <w:t>the case may be, is eventually revealed. A traveller eventually knows that</w:t>
      </w:r>
      <w:r>
        <w:rPr>
          <w:rFonts w:cstheme="minorHAnsi"/>
          <w:bCs/>
        </w:rPr>
        <w:t xml:space="preserve"> i</w:t>
      </w:r>
      <w:r w:rsidRPr="00AD26BF">
        <w:rPr>
          <w:rFonts w:cstheme="minorHAnsi"/>
          <w:bCs/>
        </w:rPr>
        <w:t>t is United Airlines that the ticket is being purchased from, for instance.</w:t>
      </w:r>
    </w:p>
    <w:p w:rsidR="005930A8" w:rsidRPr="0096231B" w:rsidRDefault="005930A8" w:rsidP="0096231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76379" w:rsidRPr="00713934" w:rsidRDefault="0096231B" w:rsidP="0071393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96231B">
        <w:rPr>
          <w:rFonts w:cstheme="minorHAnsi"/>
          <w:bCs/>
        </w:rPr>
        <w:lastRenderedPageBreak/>
        <w:t>since</w:t>
      </w:r>
      <w:proofErr w:type="gramEnd"/>
      <w:r w:rsidRPr="0096231B">
        <w:rPr>
          <w:rFonts w:cstheme="minorHAnsi"/>
          <w:bCs/>
        </w:rPr>
        <w:t xml:space="preserve"> they are hyperlinked to another site</w:t>
      </w:r>
      <w:r w:rsidR="00676379"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-808355</wp:posOffset>
            </wp:positionV>
            <wp:extent cx="5945505" cy="4667250"/>
            <wp:effectExtent l="19050" t="0" r="0" b="0"/>
            <wp:wrapTight wrapText="bothSides">
              <wp:wrapPolygon edited="0">
                <wp:start x="-69" y="0"/>
                <wp:lineTo x="-69" y="21512"/>
                <wp:lineTo x="21593" y="21512"/>
                <wp:lineTo x="21593" y="0"/>
                <wp:lineTo x="-69" y="0"/>
              </wp:wrapPolygon>
            </wp:wrapTight>
            <wp:docPr id="1" name="Picture 0" descr="V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79">
        <w:rPr>
          <w:noProof/>
          <w:lang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3954780</wp:posOffset>
            </wp:positionV>
            <wp:extent cx="5945505" cy="4646295"/>
            <wp:effectExtent l="19050" t="0" r="0" b="0"/>
            <wp:wrapTight wrapText="bothSides">
              <wp:wrapPolygon edited="0">
                <wp:start x="-69" y="0"/>
                <wp:lineTo x="-69" y="21520"/>
                <wp:lineTo x="21593" y="21520"/>
                <wp:lineTo x="21593" y="0"/>
                <wp:lineTo x="-69" y="0"/>
              </wp:wrapPolygon>
            </wp:wrapTight>
            <wp:docPr id="2" name="Picture 1" descr="V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379" w:rsidRDefault="00676379" w:rsidP="00676379">
      <w:r>
        <w:object w:dxaOrig="10315" w:dyaOrig="4735">
          <v:shape id="_x0000_i1027" type="#_x0000_t75" style="width:468pt;height:213.5pt" o:ole="">
            <v:imagedata r:id="rId14" o:title=""/>
          </v:shape>
          <o:OLEObject Type="Embed" ProgID="Visio.Drawing.11" ShapeID="_x0000_i1027" DrawAspect="Content" ObjectID="_1324492145" r:id="rId15"/>
        </w:object>
      </w:r>
    </w:p>
    <w:p w:rsidR="00676379" w:rsidRDefault="00676379" w:rsidP="00676379"/>
    <w:p w:rsidR="00676379" w:rsidRDefault="00676379" w:rsidP="00676379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Community</w:t>
      </w:r>
    </w:p>
    <w:p w:rsidR="00676379" w:rsidRPr="008338FF" w:rsidRDefault="00676379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8338FF">
        <w:rPr>
          <w:rFonts w:ascii="Calibri" w:hAnsi="Calibri" w:cs="Calibri"/>
          <w:bCs/>
        </w:rPr>
        <w:t>Relationship:  Virtual communities are most often free services that aggregate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information for customers, but they may also serve as an appendage for a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business, a</w:t>
      </w:r>
      <w:r>
        <w:rPr>
          <w:rFonts w:ascii="Calibri" w:hAnsi="Calibri" w:cs="Calibri"/>
          <w:bCs/>
        </w:rPr>
        <w:t>s in the case Yahoo Groups.</w:t>
      </w:r>
    </w:p>
    <w:p w:rsidR="00676379" w:rsidRPr="008338FF" w:rsidRDefault="00676379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8338FF">
        <w:rPr>
          <w:rFonts w:ascii="Calibri" w:hAnsi="Calibri" w:cs="Calibri"/>
          <w:bCs/>
        </w:rPr>
        <w:t>The primary relationship in the model is between customers and the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virtual community.</w:t>
      </w:r>
    </w:p>
    <w:p w:rsidR="00676379" w:rsidRPr="008338FF" w:rsidRDefault="00676379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8338FF">
        <w:rPr>
          <w:rFonts w:ascii="Calibri" w:hAnsi="Calibri" w:cs="Calibri"/>
          <w:bCs/>
        </w:rPr>
        <w:t>Data</w:t>
      </w:r>
      <w:r>
        <w:rPr>
          <w:rFonts w:ascii="Calibri" w:hAnsi="Calibri" w:cs="Calibri"/>
          <w:bCs/>
        </w:rPr>
        <w:t xml:space="preserve">: </w:t>
      </w:r>
      <w:r w:rsidRPr="008338FF">
        <w:rPr>
          <w:rFonts w:ascii="Calibri" w:hAnsi="Calibri" w:cs="Calibri"/>
          <w:bCs/>
        </w:rPr>
        <w:t xml:space="preserve"> Data about customer interests resides with the virtual community. This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could be a source of independent revenue for the firm.</w:t>
      </w:r>
    </w:p>
    <w:p w:rsidR="008211AE" w:rsidRDefault="00676379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8338FF">
        <w:rPr>
          <w:rFonts w:ascii="Calibri" w:hAnsi="Calibri" w:cs="Calibri"/>
          <w:bCs/>
        </w:rPr>
        <w:t>Trans</w:t>
      </w:r>
      <w:r>
        <w:rPr>
          <w:rFonts w:ascii="Calibri" w:hAnsi="Calibri" w:cs="Calibri"/>
          <w:bCs/>
        </w:rPr>
        <w:t xml:space="preserve">actions: </w:t>
      </w:r>
      <w:r w:rsidRPr="008338FF">
        <w:rPr>
          <w:rFonts w:ascii="Calibri" w:hAnsi="Calibri" w:cs="Calibri"/>
          <w:bCs/>
        </w:rPr>
        <w:t xml:space="preserve"> There are no transactions to speak of with this model. Organizations use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virtual communities as value-added differentiators. They receive money</w:t>
      </w:r>
      <w:r>
        <w:rPr>
          <w:rFonts w:ascii="Calibri" w:hAnsi="Calibri" w:cs="Calibri"/>
          <w:bCs/>
        </w:rPr>
        <w:t xml:space="preserve"> </w:t>
      </w:r>
      <w:r w:rsidRPr="008338FF">
        <w:rPr>
          <w:rFonts w:ascii="Calibri" w:hAnsi="Calibri" w:cs="Calibri"/>
          <w:bCs/>
        </w:rPr>
        <w:t>indirectly, through their other sales channels, but not through this firm</w:t>
      </w:r>
      <w:r w:rsidR="008F551F">
        <w:rPr>
          <w:rFonts w:ascii="Calibri" w:hAnsi="Calibri" w:cs="Calibri"/>
          <w:bCs/>
        </w:rPr>
        <w:t>.</w:t>
      </w:r>
    </w:p>
    <w:p w:rsidR="008211AE" w:rsidRDefault="008211AE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8211AE" w:rsidRDefault="008211AE" w:rsidP="0067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8211AE" w:rsidRDefault="005D6589" w:rsidP="008211AE">
      <w:r w:rsidRPr="005D6589">
        <w:rPr>
          <w:noProof/>
          <w:lang w:val="en-US"/>
        </w:rPr>
        <w:pict>
          <v:rect id="_x0000_s1036" style="position:absolute;margin-left:-6.75pt;margin-top:.45pt;width:90.25pt;height:119.65pt;z-index:251676672" fillcolor="#8064a2 [3207]" strokecolor="#f2f2f2 [3041]" strokeweight="1pt">
            <v:fill color2="#3f3151 [1607]" angle="-135" focusposition="1" focussize="" focus="100%" type="gradient"/>
            <v:shadow on="t" type="perspective" color="#ccc0d9 [1303]" opacity=".5" origin=",.5" offset="0,0" matrix=",-56756f,,.5"/>
            <v:textbox style="mso-next-textbox:#_x0000_s1036">
              <w:txbxContent>
                <w:p w:rsidR="008211AE" w:rsidRPr="003A3F57" w:rsidRDefault="008211AE" w:rsidP="008211AE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 w:rsidRPr="005D6589">
        <w:rPr>
          <w:noProof/>
          <w:lang w:val="en-US"/>
        </w:rPr>
        <w:pict>
          <v:roundrect id="_x0000_s1045" style="position:absolute;margin-left:4.5pt;margin-top:16.95pt;width:43pt;height:15.15pt;z-index:251685888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2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roundrect id="_x0000_s1044" style="position:absolute;margin-left:28.5pt;margin-top:4.95pt;width:43pt;height:15.15pt;z-index:251684864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1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shape id="_x0000_s1043" type="#_x0000_t93" style="position:absolute;margin-left:90pt;margin-top:12.95pt;width:266pt;height:27.5pt;flip:x;z-index:251683840" adj="18636,5380" fillcolor="white [3201]" strokecolor="#4f81bd [3204]" strokeweight="1pt">
            <v:stroke dashstyle="dash"/>
            <v:shadow color="#868686"/>
            <v:textbox>
              <w:txbxContent>
                <w:p w:rsidR="008211AE" w:rsidRPr="008C454D" w:rsidRDefault="008211AE" w:rsidP="008211AE">
                  <w:pPr>
                    <w:jc w:val="center"/>
                    <w:rPr>
                      <w:b/>
                      <w:sz w:val="16"/>
                    </w:rPr>
                  </w:pPr>
                  <w:r w:rsidRPr="008C454D">
                    <w:rPr>
                      <w:b/>
                      <w:sz w:val="16"/>
                    </w:rPr>
                    <w:t>SALES</w:t>
                  </w:r>
                </w:p>
              </w:txbxContent>
            </v:textbox>
          </v:shape>
        </w:pict>
      </w:r>
    </w:p>
    <w:p w:rsidR="008211AE" w:rsidRDefault="005D6589" w:rsidP="008211AE">
      <w:r w:rsidRPr="005D6589">
        <w:rPr>
          <w:noProof/>
          <w:lang w:val="en-US"/>
        </w:rPr>
        <w:pict>
          <v:rect id="_x0000_s1038" style="position:absolute;margin-left:376.5pt;margin-top:22.15pt;width:90.25pt;height:29pt;z-index:25167872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38">
              <w:txbxContent>
                <w:p w:rsidR="008211AE" w:rsidRPr="001C186D" w:rsidRDefault="008211AE" w:rsidP="008211A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CUSTOMERS</w:t>
                  </w:r>
                </w:p>
              </w:txbxContent>
            </v:textbox>
          </v:rect>
        </w:pict>
      </w:r>
      <w:r w:rsidRPr="005D6589">
        <w:rPr>
          <w:noProof/>
          <w:lang w:val="en-US"/>
        </w:rPr>
        <w:pict>
          <v:roundrect id="_x0000_s1047" style="position:absolute;margin-left:4.5pt;margin-top:17.15pt;width:43pt;height:15.15pt;z-index:251687936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4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roundrect id="_x0000_s1046" style="position:absolute;margin-left:28.5pt;margin-top:3.5pt;width:43pt;height:15.15pt;z-index:251686912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3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shape id="_x0000_s1037" type="#_x0000_t112" style="position:absolute;margin-left:171.5pt;margin-top:16pt;width:111pt;height:46pt;z-index:25167769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37">
              <w:txbxContent>
                <w:p w:rsidR="008211AE" w:rsidRDefault="008211AE" w:rsidP="008211AE">
                  <w:pPr>
                    <w:jc w:val="center"/>
                  </w:pPr>
                  <w:r>
                    <w:t>Whole of enterprise</w:t>
                  </w:r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 id="_x0000_s1041" type="#_x0000_t32" style="position:absolute;margin-left:286pt;margin-top:31pt;width:74.5pt;height:0;z-index:251681792" o:connectortype="straight"/>
        </w:pict>
      </w:r>
    </w:p>
    <w:p w:rsidR="008211AE" w:rsidRDefault="005D6589" w:rsidP="008211AE">
      <w:r w:rsidRPr="005D6589">
        <w:rPr>
          <w:noProof/>
          <w:lang w:val="en-US"/>
        </w:rPr>
        <w:pict>
          <v:roundrect id="_x0000_s1051" style="position:absolute;margin-left:1.5pt;margin-top:46.1pt;width:43pt;height:15.15pt;z-index:251692032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8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roundrect id="_x0000_s1050" style="position:absolute;margin-left:28.5pt;margin-top:32.7pt;width:43pt;height:15.15pt;z-index:251691008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7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roundrect id="_x0000_s1049" style="position:absolute;margin-left:4.5pt;margin-top:19.05pt;width:43pt;height:15.15pt;z-index:251689984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6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roundrect id="_x0000_s1048" style="position:absolute;margin-left:28.5pt;margin-top:5.4pt;width:43pt;height:15.15pt;z-index:251688960" arcsize="10923f"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0"/>
                    </w:rPr>
                  </w:pPr>
                  <w:r w:rsidRPr="008C454D">
                    <w:rPr>
                      <w:b/>
                      <w:sz w:val="10"/>
                    </w:rPr>
                    <w:t>Company 5</w:t>
                  </w:r>
                </w:p>
              </w:txbxContent>
            </v:textbox>
          </v:roundrect>
        </w:pict>
      </w:r>
      <w:r w:rsidRPr="005D6589">
        <w:rPr>
          <w:noProof/>
          <w:lang w:val="en-US"/>
        </w:rPr>
        <w:pict>
          <v:shape id="_x0000_s1039" type="#_x0000_t93" style="position:absolute;margin-left:287pt;margin-top:8.6pt;width:83.5pt;height:33.15pt;z-index:251679744" fillcolor="white [3201]" strokecolor="#8064a2 [3207]" strokeweight="1pt">
            <v:stroke dashstyle="dash"/>
            <v:shadow color="#868686"/>
            <v:textbox style="mso-next-textbox:#_x0000_s1039">
              <w:txbxContent>
                <w:p w:rsidR="008211AE" w:rsidRPr="008C454D" w:rsidRDefault="008211AE" w:rsidP="008211AE">
                  <w:pPr>
                    <w:rPr>
                      <w:b/>
                      <w:sz w:val="16"/>
                    </w:rPr>
                  </w:pPr>
                  <w:proofErr w:type="gramStart"/>
                  <w:r w:rsidRPr="008C454D">
                    <w:rPr>
                      <w:b/>
                      <w:sz w:val="16"/>
                    </w:rPr>
                    <w:t>information</w:t>
                  </w:r>
                  <w:proofErr w:type="gramEnd"/>
                </w:p>
              </w:txbxContent>
            </v:textbox>
          </v:shape>
        </w:pict>
      </w:r>
      <w:r w:rsidRPr="005D6589">
        <w:rPr>
          <w:noProof/>
          <w:lang w:val="en-US"/>
        </w:rPr>
        <w:pict>
          <v:shape id="_x0000_s1040" type="#_x0000_t32" style="position:absolute;margin-left:92.5pt;margin-top:.1pt;width:65.5pt;height:0;z-index:251680768" o:connectortype="straight"/>
        </w:pict>
      </w:r>
      <w:r w:rsidRPr="005D6589">
        <w:rPr>
          <w:noProof/>
          <w:lang w:val="en-US"/>
        </w:rPr>
        <w:pict>
          <v:shape id="_x0000_s1042" type="#_x0000_t93" style="position:absolute;margin-left:88pt;margin-top:5.6pt;width:76.5pt;height:40.5pt;z-index:251682816" fillcolor="white [3201]" strokecolor="#c0504d [3205]" strokeweight="1pt">
            <v:stroke dashstyle="dash"/>
            <v:shadow color="#868686"/>
            <v:textbox>
              <w:txbxContent>
                <w:p w:rsidR="008211AE" w:rsidRPr="008C454D" w:rsidRDefault="008211AE" w:rsidP="008211AE">
                  <w:pPr>
                    <w:rPr>
                      <w:b/>
                      <w:sz w:val="14"/>
                    </w:rPr>
                  </w:pPr>
                  <w:r w:rsidRPr="008C454D">
                    <w:rPr>
                      <w:b/>
                      <w:sz w:val="14"/>
                    </w:rPr>
                    <w:t>Products &amp; Information</w:t>
                  </w:r>
                  <w:r w:rsidRPr="008C454D">
                    <w:rPr>
                      <w:b/>
                      <w:sz w:val="14"/>
                    </w:rPr>
                    <w:br/>
                    <w:t>&amp;</w:t>
                  </w:r>
                </w:p>
              </w:txbxContent>
            </v:textbox>
          </v:shape>
        </w:pict>
      </w:r>
    </w:p>
    <w:p w:rsidR="008211AE" w:rsidRDefault="008211AE" w:rsidP="008211AE">
      <w:pPr>
        <w:rPr>
          <w:rFonts w:ascii="Calibri" w:hAnsi="Calibri" w:cs="Calibri"/>
          <w:bCs/>
        </w:rPr>
      </w:pPr>
    </w:p>
    <w:p w:rsidR="008211AE" w:rsidRDefault="008211AE" w:rsidP="008211AE">
      <w:pPr>
        <w:rPr>
          <w:rFonts w:ascii="Calibri" w:hAnsi="Calibri" w:cs="Calibri"/>
          <w:bCs/>
        </w:rPr>
      </w:pPr>
    </w:p>
    <w:p w:rsidR="008211AE" w:rsidRDefault="008211AE" w:rsidP="008F551F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Whole of Enterprise</w:t>
      </w:r>
    </w:p>
    <w:p w:rsidR="00653A11" w:rsidRPr="00653A11" w:rsidRDefault="00653A11" w:rsidP="00653A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3A11">
        <w:rPr>
          <w:rFonts w:cstheme="minorHAnsi"/>
          <w:bCs/>
        </w:rPr>
        <w:t>Rel</w:t>
      </w:r>
      <w:r>
        <w:rPr>
          <w:rFonts w:cstheme="minorHAnsi"/>
          <w:bCs/>
        </w:rPr>
        <w:t>ationship:</w:t>
      </w:r>
      <w:r w:rsidRPr="00653A11">
        <w:rPr>
          <w:rFonts w:cstheme="minorHAnsi"/>
          <w:bCs/>
        </w:rPr>
        <w:t xml:space="preserve"> Single point of contact (called "Whole of Enterprise" in Weill &amp; Vitale)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shares some of the characteristics of the direct-to-consumer model. It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owns the relationship, since that is, in fact, the entire idea behind the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model. Customers should not have to seek beyond the single point of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contact to have their needs met. There are few mature examples of this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model.</w:t>
      </w:r>
    </w:p>
    <w:p w:rsidR="00653A11" w:rsidRPr="00653A11" w:rsidRDefault="00653A11" w:rsidP="00653A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3A11">
        <w:rPr>
          <w:rFonts w:cstheme="minorHAnsi"/>
          <w:bCs/>
        </w:rPr>
        <w:lastRenderedPageBreak/>
        <w:t>Data</w:t>
      </w:r>
      <w:r>
        <w:rPr>
          <w:rFonts w:cstheme="minorHAnsi"/>
          <w:bCs/>
        </w:rPr>
        <w:t>:</w:t>
      </w:r>
      <w:r w:rsidRPr="00653A11">
        <w:rPr>
          <w:rFonts w:cstheme="minorHAnsi"/>
          <w:bCs/>
        </w:rPr>
        <w:t xml:space="preserve"> Naturally, data is owned by the single point of contact, who attempt to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answer questions and direct customers to the products and services they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seek.</w:t>
      </w:r>
    </w:p>
    <w:p w:rsidR="00653A11" w:rsidRDefault="00653A11" w:rsidP="00653A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3A11">
        <w:rPr>
          <w:rFonts w:cstheme="minorHAnsi"/>
          <w:bCs/>
        </w:rPr>
        <w:t>Trans</w:t>
      </w:r>
      <w:r w:rsidR="001A5765">
        <w:rPr>
          <w:rFonts w:cstheme="minorHAnsi"/>
          <w:bCs/>
        </w:rPr>
        <w:t>actions:</w:t>
      </w:r>
      <w:r w:rsidRPr="00653A11">
        <w:rPr>
          <w:rFonts w:cstheme="minorHAnsi"/>
          <w:bCs/>
        </w:rPr>
        <w:t xml:space="preserve"> Customers perceive that they are dealing with the single point of contact,</w:t>
      </w:r>
      <w:r>
        <w:rPr>
          <w:rFonts w:cstheme="minorHAnsi"/>
          <w:bCs/>
        </w:rPr>
        <w:t xml:space="preserve"> </w:t>
      </w:r>
      <w:r w:rsidRPr="00653A11">
        <w:rPr>
          <w:rFonts w:cstheme="minorHAnsi"/>
          <w:bCs/>
        </w:rPr>
        <w:t>and that Web site is their access point.</w:t>
      </w:r>
    </w:p>
    <w:p w:rsidR="00653A11" w:rsidRPr="00653A11" w:rsidRDefault="00653A11" w:rsidP="00653A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211AE" w:rsidRPr="00653A11" w:rsidRDefault="008211AE" w:rsidP="008211AE">
      <w:r w:rsidRPr="00653A11">
        <w:rPr>
          <w:sz w:val="24"/>
        </w:rPr>
        <w:t xml:space="preserve">Source: </w:t>
      </w:r>
      <w:hyperlink r:id="rId16" w:history="1">
        <w:r w:rsidRPr="00653A11">
          <w:rPr>
            <w:rStyle w:val="Hyperlink"/>
            <w:sz w:val="24"/>
          </w:rPr>
          <w:t>http://www.cis.gsu.edu/~dstraub/ExecutiveEducation/UNTDec2001/UNT5.pdf</w:t>
        </w:r>
      </w:hyperlink>
    </w:p>
    <w:p w:rsidR="00676379" w:rsidRPr="00676379" w:rsidRDefault="00676379">
      <w:pPr>
        <w:rPr>
          <w:b/>
          <w:sz w:val="24"/>
        </w:rPr>
      </w:pPr>
    </w:p>
    <w:sectPr w:rsidR="00676379" w:rsidRPr="00676379" w:rsidSect="006C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76379"/>
    <w:rsid w:val="000F5796"/>
    <w:rsid w:val="001A5765"/>
    <w:rsid w:val="00201762"/>
    <w:rsid w:val="003B0C38"/>
    <w:rsid w:val="005930A8"/>
    <w:rsid w:val="005D6589"/>
    <w:rsid w:val="00653A11"/>
    <w:rsid w:val="00676379"/>
    <w:rsid w:val="00713934"/>
    <w:rsid w:val="008211AE"/>
    <w:rsid w:val="008F551F"/>
    <w:rsid w:val="0096231B"/>
    <w:rsid w:val="00B46517"/>
    <w:rsid w:val="00C93F6A"/>
    <w:rsid w:val="00D32001"/>
    <w:rsid w:val="00DE37C5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41"/>
        <o:r id="V:Rule7" type="connector" idref="#_x0000_s1032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is.gsu.edu/~dstraub/ExecutiveEducation/UNTDec2001/UNT5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11</cp:revision>
  <dcterms:created xsi:type="dcterms:W3CDTF">2010-01-08T12:14:00Z</dcterms:created>
  <dcterms:modified xsi:type="dcterms:W3CDTF">2010-01-08T13:42:00Z</dcterms:modified>
</cp:coreProperties>
</file>